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13678FA7"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LA11DV3</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9E2EED">
        <w:rPr>
          <w:rFonts w:cs="Arial"/>
          <w:b/>
          <w:sz w:val="28"/>
          <w:szCs w:val="28"/>
        </w:rPr>
        <w:t>B</w:t>
      </w:r>
      <w:r w:rsidR="00D43124">
        <w:rPr>
          <w:rFonts w:cs="Arial"/>
          <w:b/>
          <w:sz w:val="28"/>
          <w:szCs w:val="28"/>
        </w:rPr>
        <w:t>11</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3BC3F15B"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LA11DV3</w:t>
      </w:r>
    </w:p>
    <w:p w14:paraId="0CFF8450" w14:textId="06FEA86D"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w:t>
      </w:r>
      <w:r w:rsidR="009E2EED">
        <w:rPr>
          <w:rFonts w:cs="Arial"/>
        </w:rPr>
        <w:t>B</w:t>
      </w:r>
      <w:r w:rsidR="00663E62">
        <w:rPr>
          <w:rFonts w:cs="Arial"/>
        </w:rPr>
        <w:t>1</w:t>
      </w:r>
      <w:r w:rsidR="00D43124">
        <w:rPr>
          <w:rFonts w:cs="Arial"/>
        </w:rPr>
        <w:t>1</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w:t>
      </w:r>
      <w:proofErr w:type="spellStart"/>
      <w:r>
        <w:rPr>
          <w:rFonts w:cs="Arial"/>
          <w:b/>
          <w:szCs w:val="20"/>
        </w:rPr>
        <w:t>Altherma</w:t>
      </w:r>
      <w:proofErr w:type="spellEnd"/>
      <w:r>
        <w:rPr>
          <w:rFonts w:cs="Arial"/>
          <w:b/>
          <w:szCs w:val="20"/>
        </w:rPr>
        <w:t xml:space="preserve">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206BD542" w:rsidR="00E76DB6" w:rsidRDefault="00E76DB6" w:rsidP="00E76DB6">
      <w:pPr>
        <w:pStyle w:val="NoSpacing"/>
        <w:jc w:val="both"/>
        <w:rPr>
          <w:rFonts w:cs="Arial"/>
          <w:b/>
          <w:szCs w:val="20"/>
        </w:rPr>
      </w:pPr>
      <w:r>
        <w:rPr>
          <w:rFonts w:cs="Arial"/>
          <w:b/>
          <w:szCs w:val="20"/>
        </w:rPr>
        <w:t>È possibile collegare un impianto solare termico Daikin Solaris Drain Back a svuotamento</w:t>
      </w:r>
      <w:r w:rsidR="00D07415">
        <w:rPr>
          <w:rFonts w:cs="Arial"/>
          <w:b/>
          <w:szCs w:val="20"/>
        </w:rPr>
        <w:t xml:space="preserve"> e altre fonti di calore</w:t>
      </w:r>
      <w:r>
        <w:rPr>
          <w:rFonts w:cs="Arial"/>
          <w:b/>
          <w:szCs w:val="20"/>
        </w:rPr>
        <w:t xml:space="preserve">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73FC05E7" w14:textId="77777777" w:rsidR="00C60F4A" w:rsidRPr="009B2CD8" w:rsidRDefault="00C60F4A" w:rsidP="00C60F4A">
      <w:pPr>
        <w:pStyle w:val="NoSpacing"/>
        <w:tabs>
          <w:tab w:val="left" w:pos="4962"/>
          <w:tab w:val="left" w:pos="5954"/>
          <w:tab w:val="left" w:pos="6521"/>
          <w:tab w:val="left" w:pos="7655"/>
          <w:tab w:val="left" w:pos="8222"/>
        </w:tabs>
        <w:jc w:val="both"/>
        <w:rPr>
          <w:rFonts w:cs="Arial"/>
          <w:szCs w:val="20"/>
        </w:rPr>
      </w:pPr>
      <w:r w:rsidRPr="009B2CD8">
        <w:rPr>
          <w:rFonts w:cs="Arial"/>
          <w:szCs w:val="20"/>
        </w:rPr>
        <w:t>Refrigerante R-32. GWP: 675.</w:t>
      </w:r>
    </w:p>
    <w:p w14:paraId="267B6515" w14:textId="77777777" w:rsidR="00C60F4A" w:rsidRPr="009B2CD8" w:rsidRDefault="00C60F4A" w:rsidP="00C60F4A">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66E19B56" w14:textId="77777777" w:rsidR="00C60F4A" w:rsidRPr="00C335A4" w:rsidRDefault="00C60F4A" w:rsidP="00C60F4A">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781121BB" w14:textId="77777777" w:rsidR="00C60F4A" w:rsidRPr="00C335A4" w:rsidRDefault="00C60F4A" w:rsidP="00C60F4A">
      <w:pPr>
        <w:pStyle w:val="NoSpacing"/>
        <w:tabs>
          <w:tab w:val="left" w:pos="4962"/>
          <w:tab w:val="left" w:pos="5954"/>
          <w:tab w:val="left" w:pos="6521"/>
          <w:tab w:val="left" w:pos="7655"/>
          <w:tab w:val="left" w:pos="8222"/>
        </w:tabs>
        <w:jc w:val="both"/>
        <w:rPr>
          <w:rFonts w:cs="Arial"/>
          <w:szCs w:val="20"/>
        </w:rPr>
      </w:pPr>
    </w:p>
    <w:p w14:paraId="44480DED"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1B4B14D7"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Alimentazione elettrica monofase 230</w:t>
      </w:r>
      <w:r>
        <w:rPr>
          <w:rFonts w:cs="Arial"/>
          <w:szCs w:val="20"/>
        </w:rPr>
        <w:t xml:space="preserve"> </w:t>
      </w:r>
      <w:r w:rsidRPr="00B65AE3">
        <w:rPr>
          <w:rFonts w:cs="Arial"/>
          <w:szCs w:val="20"/>
        </w:rPr>
        <w:t xml:space="preserve">V, 50 Hz. </w:t>
      </w:r>
    </w:p>
    <w:p w14:paraId="2A6B4A7B"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71152A5F"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5407689C"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12,44</w:t>
      </w:r>
      <w:r w:rsidRPr="00B65AE3">
        <w:rPr>
          <w:rFonts w:cs="Arial"/>
          <w:szCs w:val="20"/>
        </w:rPr>
        <w:t xml:space="preserve"> kW </w:t>
      </w:r>
    </w:p>
    <w:p w14:paraId="3B450A4E"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2,57</w:t>
      </w:r>
      <w:r w:rsidRPr="00B65AE3">
        <w:rPr>
          <w:rFonts w:cs="Arial"/>
          <w:szCs w:val="20"/>
        </w:rPr>
        <w:t xml:space="preserve"> kW </w:t>
      </w:r>
    </w:p>
    <w:p w14:paraId="62A91FCF"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4,83</w:t>
      </w:r>
    </w:p>
    <w:p w14:paraId="0D36415D"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7576353E"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52E58F06"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4BACAAA0"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12</w:t>
      </w:r>
      <w:r w:rsidRPr="00B65AE3">
        <w:rPr>
          <w:rFonts w:cs="Arial"/>
          <w:szCs w:val="20"/>
        </w:rPr>
        <w:t xml:space="preserve"> kW </w:t>
      </w:r>
    </w:p>
    <w:p w14:paraId="3A1AA6F9"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2,52</w:t>
      </w:r>
      <w:r w:rsidRPr="00B65AE3">
        <w:rPr>
          <w:rFonts w:cs="Arial"/>
          <w:szCs w:val="20"/>
        </w:rPr>
        <w:t xml:space="preserve"> kW </w:t>
      </w:r>
    </w:p>
    <w:p w14:paraId="2B84790C"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4,75</w:t>
      </w:r>
    </w:p>
    <w:p w14:paraId="14248BFE"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591B3F73"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055E171E"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05A98270"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52FDC06D"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6BCC0936"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0D8A40E0"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0BE7865A" w14:textId="77777777" w:rsidR="00C60F4A" w:rsidRDefault="00C60F4A" w:rsidP="00C60F4A">
      <w:pPr>
        <w:pStyle w:val="NoSpacing"/>
        <w:tabs>
          <w:tab w:val="left" w:pos="4962"/>
          <w:tab w:val="left" w:pos="5954"/>
          <w:tab w:val="left" w:pos="6521"/>
          <w:tab w:val="left" w:pos="7655"/>
          <w:tab w:val="left" w:pos="8222"/>
        </w:tabs>
        <w:jc w:val="both"/>
        <w:rPr>
          <w:rFonts w:cs="Arial"/>
          <w:szCs w:val="20"/>
        </w:rPr>
      </w:pPr>
    </w:p>
    <w:p w14:paraId="4C19EE48"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19D713DB"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w:t>
      </w:r>
      <w:proofErr w:type="spellStart"/>
      <w:r w:rsidRPr="00B65AE3">
        <w:rPr>
          <w:rFonts w:cs="Arial"/>
          <w:szCs w:val="20"/>
        </w:rPr>
        <w:t>dBA</w:t>
      </w:r>
      <w:proofErr w:type="spellEnd"/>
    </w:p>
    <w:p w14:paraId="6B2167E9"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7B9C4E0D"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366B4508"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proofErr w:type="spellStart"/>
      <w:r w:rsidRPr="00B65AE3">
        <w:rPr>
          <w:rFonts w:cs="Arial"/>
          <w:szCs w:val="20"/>
        </w:rPr>
        <w:t>dBA</w:t>
      </w:r>
      <w:proofErr w:type="spellEnd"/>
    </w:p>
    <w:p w14:paraId="4C440492"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68702583"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32</w:t>
      </w:r>
      <w:r w:rsidRPr="00B65AE3">
        <w:rPr>
          <w:rFonts w:cs="Arial"/>
          <w:szCs w:val="20"/>
        </w:rPr>
        <w:t xml:space="preserve"> A</w:t>
      </w:r>
    </w:p>
    <w:p w14:paraId="315BEF94"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2F02C434" w14:textId="77777777" w:rsidR="00C60F4A"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w:t>
      </w:r>
      <w:proofErr w:type="spellStart"/>
      <w:r>
        <w:rPr>
          <w:rFonts w:cs="Arial"/>
          <w:szCs w:val="20"/>
        </w:rPr>
        <w:t>termoaccumulo</w:t>
      </w:r>
      <w:proofErr w:type="spellEnd"/>
      <w:r>
        <w:rPr>
          <w:rFonts w:cs="Arial"/>
          <w:szCs w:val="20"/>
        </w:rPr>
        <w:t xml:space="preserve">.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w:t>
      </w:r>
      <w:proofErr w:type="spellStart"/>
      <w:r w:rsidRPr="008E55FF">
        <w:rPr>
          <w:rFonts w:cs="Arial"/>
          <w:szCs w:val="20"/>
        </w:rPr>
        <w:t>ed</w:t>
      </w:r>
      <w:proofErr w:type="spellEnd"/>
      <w:r w:rsidRPr="008E55FF">
        <w:rPr>
          <w:rFonts w:cs="Arial"/>
          <w:szCs w:val="20"/>
        </w:rPr>
        <w:t xml:space="preserve"> intuitiva, permette  l’inserimento dei parametri di funzionamento in modo guidato. </w:t>
      </w:r>
      <w:r w:rsidR="00907D75">
        <w:rPr>
          <w:rFonts w:cs="Arial"/>
          <w:szCs w:val="20"/>
        </w:rPr>
        <w:t xml:space="preserve">Il controllo dell’operatività dell’unità è possibile anche da App mobile Daikin </w:t>
      </w:r>
      <w:proofErr w:type="spellStart"/>
      <w:r w:rsidR="00907D75">
        <w:rPr>
          <w:rFonts w:cs="Arial"/>
          <w:szCs w:val="20"/>
        </w:rPr>
        <w:t>Residential</w:t>
      </w:r>
      <w:proofErr w:type="spellEnd"/>
      <w:r w:rsidR="00907D75">
        <w:rPr>
          <w:rFonts w:cs="Arial"/>
          <w:szCs w:val="20"/>
        </w:rPr>
        <w:t xml:space="preserve"> Controller utilizzando la schedina WLAN. </w:t>
      </w:r>
      <w:r w:rsidR="00907D75">
        <w:rPr>
          <w:rFonts w:cs="Arial"/>
        </w:rPr>
        <w:t xml:space="preserve">Se si intende gestire la temperatura ambiente è necessario installare il </w:t>
      </w:r>
      <w:proofErr w:type="spellStart"/>
      <w:r w:rsidR="00907D75">
        <w:rPr>
          <w:rFonts w:cs="Arial"/>
        </w:rPr>
        <w:t>madoka</w:t>
      </w:r>
      <w:proofErr w:type="spellEnd"/>
      <w:r w:rsidR="00907D75">
        <w:rPr>
          <w:rFonts w:cs="Arial"/>
        </w:rPr>
        <w:t xml:space="preserve"> BRC1H in ambiente.</w:t>
      </w:r>
      <w:r w:rsidR="00907D75" w:rsidRPr="00907D75">
        <w:rPr>
          <w:rFonts w:cs="Arial"/>
          <w:szCs w:val="20"/>
        </w:rPr>
        <w:t xml:space="preserve"> </w:t>
      </w:r>
      <w:r w:rsidR="00907D75">
        <w:rPr>
          <w:rFonts w:cs="Arial"/>
          <w:szCs w:val="20"/>
        </w:rPr>
        <w:t xml:space="preserve">E’ anche possibile sfruttare la funzione Smart </w:t>
      </w:r>
      <w:proofErr w:type="spellStart"/>
      <w:r w:rsidR="00907D75">
        <w:rPr>
          <w:rFonts w:cs="Arial"/>
          <w:szCs w:val="20"/>
        </w:rPr>
        <w:t>Grid</w:t>
      </w:r>
      <w:proofErr w:type="spellEnd"/>
      <w:r w:rsidR="00907D75">
        <w:rPr>
          <w:rFonts w:cs="Arial"/>
          <w:szCs w:val="20"/>
        </w:rPr>
        <w:t xml:space="preserve"> per la massima integrazione con un impianto fotovoltaico sui morsetti dedicati a bordo macchina.</w:t>
      </w:r>
    </w:p>
    <w:p w14:paraId="3BF1C38D" w14:textId="3A6CE17F"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D07415">
        <w:rPr>
          <w:rFonts w:cs="Arial"/>
          <w:szCs w:val="20"/>
        </w:rPr>
        <w:t xml:space="preserve"> o parallela con un secondo generatore</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D07415" w:rsidRDefault="00F77AF1" w:rsidP="00F77AF1">
      <w:pPr>
        <w:pStyle w:val="NoSpacing"/>
        <w:tabs>
          <w:tab w:val="left" w:pos="4962"/>
          <w:tab w:val="left" w:pos="5954"/>
          <w:tab w:val="left" w:pos="6521"/>
          <w:tab w:val="left" w:pos="7655"/>
          <w:tab w:val="left" w:pos="8222"/>
        </w:tabs>
        <w:jc w:val="both"/>
        <w:rPr>
          <w:rFonts w:cs="Arial"/>
          <w:color w:val="FF0000"/>
          <w:szCs w:val="20"/>
        </w:rPr>
      </w:pPr>
      <w:r w:rsidRPr="00A01EDF">
        <w:rPr>
          <w:rFonts w:cs="Arial"/>
          <w:szCs w:val="20"/>
        </w:rPr>
        <w:t>Dimensioni (A x L x P) 1</w:t>
      </w:r>
      <w:r w:rsidR="00892313" w:rsidRPr="00A01EDF">
        <w:rPr>
          <w:rFonts w:cs="Arial"/>
          <w:szCs w:val="20"/>
        </w:rPr>
        <w:t>910</w:t>
      </w:r>
      <w:r w:rsidRPr="00A01EDF">
        <w:rPr>
          <w:rFonts w:cs="Arial"/>
          <w:szCs w:val="20"/>
        </w:rPr>
        <w:t xml:space="preserve"> x 79</w:t>
      </w:r>
      <w:r w:rsidR="00892313" w:rsidRPr="00A01EDF">
        <w:rPr>
          <w:rFonts w:cs="Arial"/>
          <w:szCs w:val="20"/>
        </w:rPr>
        <w:t>2</w:t>
      </w:r>
      <w:r w:rsidRPr="00A01EDF">
        <w:rPr>
          <w:rFonts w:cs="Arial"/>
          <w:szCs w:val="20"/>
        </w:rPr>
        <w:t xml:space="preserve"> x </w:t>
      </w:r>
      <w:r w:rsidR="00892313" w:rsidRPr="00A01EDF">
        <w:rPr>
          <w:rFonts w:cs="Arial"/>
          <w:szCs w:val="20"/>
        </w:rPr>
        <w:t>817</w:t>
      </w:r>
      <w:r w:rsidRPr="00A01EDF">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64CD20BA"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w:t>
      </w:r>
      <w:r w:rsidR="00A01EDF">
        <w:rPr>
          <w:rFonts w:cs="Arial"/>
          <w:szCs w:val="20"/>
        </w:rPr>
        <w:t>7</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3AD9A196"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D43124">
        <w:rPr>
          <w:rFonts w:cs="Arial"/>
        </w:rPr>
        <w:t>75</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 xml:space="preserve">Backup </w:t>
      </w:r>
      <w:proofErr w:type="spellStart"/>
      <w:r w:rsidRPr="006B2BC3">
        <w:rPr>
          <w:rFonts w:cs="Arial"/>
          <w:u w:val="single"/>
        </w:rPr>
        <w:t>heater</w:t>
      </w:r>
      <w:proofErr w:type="spellEnd"/>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proofErr w:type="spellStart"/>
      <w:r w:rsidRPr="00A32660">
        <w:rPr>
          <w:rFonts w:cs="Arial"/>
          <w:color w:val="000000" w:themeColor="text1"/>
          <w:u w:val="single"/>
        </w:rPr>
        <w:t>Termoaccumulo</w:t>
      </w:r>
      <w:proofErr w:type="spellEnd"/>
      <w:r w:rsidRPr="00A32660">
        <w:rPr>
          <w:rFonts w:cs="Arial"/>
          <w:color w:val="000000" w:themeColor="text1"/>
          <w:u w:val="single"/>
        </w:rPr>
        <w:t>:</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proofErr w:type="spellStart"/>
      <w:r w:rsidRPr="008A71EA">
        <w:rPr>
          <w:rFonts w:cs="Arial"/>
          <w:b/>
          <w:color w:val="FF0000"/>
          <w:sz w:val="16"/>
          <w:szCs w:val="16"/>
        </w:rPr>
        <w:t>Funzionaltà</w:t>
      </w:r>
      <w:proofErr w:type="spellEnd"/>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proofErr w:type="spellStart"/>
      <w:r w:rsidR="00614FD6">
        <w:rPr>
          <w:rFonts w:cs="Arial"/>
        </w:rPr>
        <w:t>Residential</w:t>
      </w:r>
      <w:proofErr w:type="spellEnd"/>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w:t>
      </w:r>
      <w:proofErr w:type="spellStart"/>
      <w:r w:rsidRPr="008D6F28">
        <w:rPr>
          <w:rFonts w:ascii="Calibri" w:hAnsi="Calibri" w:cs="Arial"/>
          <w:u w:val="single"/>
        </w:rPr>
        <w:t>heater</w:t>
      </w:r>
      <w:proofErr w:type="spellEnd"/>
      <w:r w:rsidRPr="008D6F28">
        <w:rPr>
          <w:rFonts w:ascii="Calibri" w:hAnsi="Calibri" w:cs="Arial"/>
          <w:u w:val="single"/>
        </w:rPr>
        <w:t xml:space="preserve">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 xml:space="preserve">per il supporto alla pompa di calore come backup </w:t>
      </w:r>
      <w:proofErr w:type="spellStart"/>
      <w:r w:rsidRPr="008D6F28">
        <w:rPr>
          <w:rFonts w:ascii="Calibri" w:hAnsi="Calibri" w:cs="Arial"/>
        </w:rPr>
        <w:t>heater</w:t>
      </w:r>
      <w:proofErr w:type="spellEnd"/>
      <w:r w:rsidRPr="008D6F28">
        <w:rPr>
          <w:rFonts w:ascii="Calibri" w:hAnsi="Calibri" w:cs="Arial"/>
        </w:rPr>
        <w:t xml:space="preserve"> (riscaldamento) e come booster </w:t>
      </w:r>
      <w:proofErr w:type="spellStart"/>
      <w:r w:rsidRPr="008D6F28">
        <w:rPr>
          <w:rFonts w:ascii="Calibri" w:hAnsi="Calibri" w:cs="Arial"/>
        </w:rPr>
        <w:t>heater</w:t>
      </w:r>
      <w:proofErr w:type="spellEnd"/>
      <w:r w:rsidRPr="008D6F28">
        <w:rPr>
          <w:rFonts w:ascii="Calibri" w:hAnsi="Calibri" w:cs="Arial"/>
        </w:rPr>
        <w:t xml:space="preserve">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xml:space="preserve">: </w:t>
      </w:r>
      <w:proofErr w:type="spellStart"/>
      <w:r w:rsidR="00263540" w:rsidRPr="00F3531E">
        <w:rPr>
          <w:rFonts w:ascii="Calibri" w:hAnsi="Calibri" w:cs="Arial"/>
          <w:lang w:val="pl-PL"/>
        </w:rPr>
        <w:t>potenza</w:t>
      </w:r>
      <w:proofErr w:type="spellEnd"/>
      <w:r w:rsidRPr="00F3531E">
        <w:rPr>
          <w:rFonts w:ascii="Calibri" w:hAnsi="Calibri" w:cs="Arial"/>
          <w:lang w:val="pl-PL"/>
        </w:rPr>
        <w:t xml:space="preserve"> </w:t>
      </w:r>
      <w:proofErr w:type="spellStart"/>
      <w:r w:rsidRPr="00F3531E">
        <w:rPr>
          <w:rFonts w:ascii="Calibri" w:hAnsi="Calibri" w:cs="Arial"/>
          <w:lang w:val="pl-PL"/>
        </w:rPr>
        <w:t>totale</w:t>
      </w:r>
      <w:proofErr w:type="spellEnd"/>
      <w:r w:rsidRPr="00F3531E">
        <w:rPr>
          <w:rFonts w:ascii="Calibri" w:hAnsi="Calibri" w:cs="Arial"/>
          <w:lang w:val="pl-PL"/>
        </w:rPr>
        <w:t xml:space="preserve"> 3 kW</w:t>
      </w:r>
      <w:r w:rsidR="00263540" w:rsidRPr="00F3531E">
        <w:rPr>
          <w:rFonts w:ascii="Calibri" w:hAnsi="Calibri" w:cs="Arial"/>
          <w:lang w:val="pl-PL"/>
        </w:rPr>
        <w:t>,</w:t>
      </w:r>
      <w:r w:rsidR="00F3531E" w:rsidRPr="00F3531E">
        <w:rPr>
          <w:rFonts w:ascii="Calibri" w:hAnsi="Calibri" w:cs="Arial"/>
          <w:lang w:val="pl-PL"/>
        </w:rPr>
        <w:t xml:space="preserve"> step da 1 </w:t>
      </w:r>
      <w:proofErr w:type="spellStart"/>
      <w:r w:rsidR="00F3531E" w:rsidRPr="00F3531E">
        <w:rPr>
          <w:rFonts w:ascii="Calibri" w:hAnsi="Calibri" w:cs="Arial"/>
          <w:lang w:val="pl-PL"/>
        </w:rPr>
        <w:t>kW.</w:t>
      </w:r>
      <w:proofErr w:type="spellEnd"/>
      <w:r w:rsidR="00F3531E" w:rsidRPr="00F3531E">
        <w:rPr>
          <w:rFonts w:ascii="Calibri" w:hAnsi="Calibri" w:cs="Arial"/>
          <w:lang w:val="pl-PL"/>
        </w:rPr>
        <w:t xml:space="preserve">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9E2EED">
        <w:rPr>
          <w:rFonts w:ascii="Calibri" w:hAnsi="Calibri" w:cs="Arial"/>
        </w:rPr>
        <w:t>EKECBUAF6V</w:t>
      </w:r>
      <w:r w:rsidR="00263540" w:rsidRPr="009E2EED">
        <w:rPr>
          <w:rFonts w:ascii="Calibri" w:hAnsi="Calibri" w:cs="Arial"/>
        </w:rPr>
        <w:t>: potenza</w:t>
      </w:r>
      <w:r w:rsidRPr="009E2EED">
        <w:rPr>
          <w:rFonts w:ascii="Calibri" w:hAnsi="Calibri" w:cs="Arial"/>
        </w:rPr>
        <w:t xml:space="preserve"> totale 6 </w:t>
      </w:r>
      <w:r w:rsidR="00263540" w:rsidRPr="009E2EED">
        <w:rPr>
          <w:rFonts w:ascii="Calibri" w:hAnsi="Calibri" w:cs="Arial"/>
        </w:rPr>
        <w:t>kW,</w:t>
      </w:r>
      <w:r w:rsidRPr="009E2EED">
        <w:rPr>
          <w:rFonts w:ascii="Calibri" w:hAnsi="Calibri" w:cs="Aria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9E2EED">
        <w:rPr>
          <w:rFonts w:ascii="Calibri" w:hAnsi="Calibri" w:cs="Arial"/>
        </w:rPr>
        <w:t>EKECBUAF9W</w:t>
      </w:r>
      <w:r w:rsidR="00263540" w:rsidRPr="009E2EED">
        <w:rPr>
          <w:rFonts w:ascii="Calibri" w:hAnsi="Calibri" w:cs="Arial"/>
        </w:rPr>
        <w:t xml:space="preserve">: potenza </w:t>
      </w:r>
      <w:r w:rsidRPr="009E2EED">
        <w:rPr>
          <w:rFonts w:ascii="Calibri" w:hAnsi="Calibri" w:cs="Arial"/>
        </w:rPr>
        <w:t>totale 9 kW</w:t>
      </w:r>
      <w:r w:rsidR="00263540" w:rsidRPr="009E2EED">
        <w:rPr>
          <w:rFonts w:ascii="Calibri" w:hAnsi="Calibri" w:cs="Arial"/>
        </w:rPr>
        <w:t xml:space="preserve">, </w:t>
      </w:r>
      <w:r w:rsidRPr="009E2EED">
        <w:rPr>
          <w:rFonts w:ascii="Calibri" w:hAnsi="Calibri" w:cs="Aria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DC084B7"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DB063FC" w14:textId="42F865A1" w:rsidR="00A01EDF" w:rsidRDefault="00A01EDF" w:rsidP="00F3531E">
      <w:pPr>
        <w:pStyle w:val="NoSpacing"/>
        <w:rPr>
          <w:rFonts w:ascii="Calibri" w:hAnsi="Calibri" w:cs="Arial"/>
          <w:u w:val="single"/>
        </w:rPr>
      </w:pPr>
    </w:p>
    <w:p w14:paraId="4E5FBC56" w14:textId="6BF345C7" w:rsidR="00A01EDF" w:rsidRDefault="00A01EDF" w:rsidP="00F3531E">
      <w:pPr>
        <w:pStyle w:val="NoSpacing"/>
        <w:rPr>
          <w:rFonts w:ascii="Calibri" w:hAnsi="Calibri" w:cs="Arial"/>
          <w:u w:val="single"/>
        </w:rPr>
      </w:pPr>
      <w:r>
        <w:rPr>
          <w:rFonts w:ascii="Calibri" w:hAnsi="Calibri" w:cs="Arial"/>
          <w:u w:val="single"/>
        </w:rPr>
        <w:t xml:space="preserve">Kit di connessione per </w:t>
      </w:r>
      <w:r w:rsidR="002C5802">
        <w:rPr>
          <w:rFonts w:ascii="Calibri" w:hAnsi="Calibri" w:cs="Arial"/>
          <w:u w:val="single"/>
        </w:rPr>
        <w:t>una fonte aggiuntiva sul BIV</w:t>
      </w:r>
      <w:r w:rsidR="00FC270A">
        <w:rPr>
          <w:rFonts w:ascii="Calibri" w:hAnsi="Calibri" w:cs="Arial"/>
          <w:u w:val="single"/>
        </w:rPr>
        <w:t xml:space="preserve"> EKECBIVCO2A</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 xml:space="preserve">Controllo </w:t>
      </w:r>
      <w:proofErr w:type="spellStart"/>
      <w:r w:rsidRPr="00132E07">
        <w:rPr>
          <w:rFonts w:cs="Arial"/>
          <w:u w:val="single"/>
        </w:rPr>
        <w:t>remotabile</w:t>
      </w:r>
      <w:proofErr w:type="spellEnd"/>
      <w:r w:rsidRPr="00132E07">
        <w:rPr>
          <w:rFonts w:cs="Arial"/>
          <w:u w:val="single"/>
        </w:rPr>
        <w:t xml:space="preserve"> </w:t>
      </w:r>
      <w:proofErr w:type="spellStart"/>
      <w:r w:rsidRPr="00132E07">
        <w:rPr>
          <w:rFonts w:cs="Arial"/>
          <w:u w:val="single"/>
        </w:rPr>
        <w:t>Altherma</w:t>
      </w:r>
      <w:proofErr w:type="spellEnd"/>
      <w:r w:rsidRPr="00132E07">
        <w:rPr>
          <w:rFonts w:cs="Arial"/>
          <w:u w:val="single"/>
        </w:rPr>
        <w:t xml:space="preserve"> di design BRC1H “</w:t>
      </w:r>
      <w:proofErr w:type="spellStart"/>
      <w:r w:rsidRPr="00132E07">
        <w:rPr>
          <w:rFonts w:cs="Arial"/>
          <w:u w:val="single"/>
        </w:rPr>
        <w:t>Madoka</w:t>
      </w:r>
      <w:proofErr w:type="spellEnd"/>
      <w:r w:rsidRPr="00132E07">
        <w:rPr>
          <w:rFonts w:cs="Arial"/>
          <w:u w:val="single"/>
        </w:rPr>
        <w:t>”</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proofErr w:type="spellStart"/>
      <w:r w:rsidRPr="00132E07">
        <w:rPr>
          <w:rFonts w:cs="Arial"/>
        </w:rPr>
        <w:t>setpoint</w:t>
      </w:r>
      <w:proofErr w:type="spellEnd"/>
      <w:r w:rsidRPr="00132E07">
        <w:rPr>
          <w:rFonts w:cs="Arial"/>
        </w:rPr>
        <w:t xml:space="preserve"> di temperatura (temp. acqua in uscita e temp. ambiente), lettura temperatura effettiva, cambiamento modalità operativa (riscaldamento o raffrescamento), modifica </w:t>
      </w:r>
      <w:proofErr w:type="spellStart"/>
      <w:r w:rsidRPr="00132E07">
        <w:rPr>
          <w:rFonts w:cs="Arial"/>
        </w:rPr>
        <w:t>setpoint</w:t>
      </w:r>
      <w:proofErr w:type="spellEnd"/>
      <w:r w:rsidRPr="00132E07">
        <w:rPr>
          <w:rFonts w:cs="Arial"/>
        </w:rPr>
        <w:t xml:space="preserve"> acqua calda sanitaria, impostazione modalità acqua calda sanitaria su </w:t>
      </w:r>
      <w:proofErr w:type="spellStart"/>
      <w:r w:rsidRPr="00132E07">
        <w:rPr>
          <w:rFonts w:cs="Arial"/>
        </w:rPr>
        <w:t>Powerful</w:t>
      </w:r>
      <w:proofErr w:type="spellEnd"/>
      <w:r w:rsidRPr="00132E07">
        <w:rPr>
          <w:rFonts w:cs="Arial"/>
        </w:rPr>
        <w:t>.</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7A45471E" w14:textId="77777777" w:rsidR="002C5802" w:rsidRDefault="002C5802" w:rsidP="00300924">
      <w:pPr>
        <w:pStyle w:val="NoSpacing"/>
        <w:jc w:val="both"/>
        <w:rPr>
          <w:rFonts w:cs="Arial"/>
          <w:u w:val="single"/>
        </w:rPr>
      </w:pPr>
    </w:p>
    <w:p w14:paraId="27CADC8E" w14:textId="77777777" w:rsidR="002C5802" w:rsidRDefault="002C5802" w:rsidP="00300924">
      <w:pPr>
        <w:pStyle w:val="NoSpacing"/>
        <w:jc w:val="both"/>
        <w:rPr>
          <w:rFonts w:cs="Arial"/>
          <w:u w:val="single"/>
        </w:rPr>
      </w:pPr>
    </w:p>
    <w:p w14:paraId="2DE542BA" w14:textId="77777777" w:rsidR="002C5802" w:rsidRDefault="002C5802" w:rsidP="00300924">
      <w:pPr>
        <w:pStyle w:val="NoSpacing"/>
        <w:jc w:val="both"/>
        <w:rPr>
          <w:rFonts w:cs="Arial"/>
          <w:u w:val="single"/>
        </w:rPr>
      </w:pPr>
    </w:p>
    <w:p w14:paraId="3357BAAB" w14:textId="2C7C0C01" w:rsidR="00300924" w:rsidRPr="00DD686D" w:rsidRDefault="00300924" w:rsidP="00300924">
      <w:pPr>
        <w:pStyle w:val="NoSpacing"/>
        <w:jc w:val="both"/>
        <w:rPr>
          <w:rFonts w:cs="Arial"/>
          <w:u w:val="single"/>
        </w:rPr>
      </w:pPr>
      <w:r>
        <w:rPr>
          <w:rFonts w:cs="Arial"/>
          <w:u w:val="single"/>
        </w:rPr>
        <w:t>Scheda WLAN BRP069A78</w:t>
      </w:r>
    </w:p>
    <w:p w14:paraId="0494993D" w14:textId="4F3DB488"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w:t>
      </w:r>
      <w:proofErr w:type="spellStart"/>
      <w:r w:rsidRPr="00381BD8">
        <w:rPr>
          <w:rFonts w:cs="Arial"/>
        </w:rPr>
        <w:t>adapter</w:t>
      </w:r>
      <w:proofErr w:type="spellEnd"/>
      <w:r w:rsidRPr="00381BD8">
        <w:rPr>
          <w:rFonts w:cs="Arial"/>
        </w:rPr>
        <w:t xml:space="preserve"> per la gestione via APP dell’unità </w:t>
      </w:r>
      <w:proofErr w:type="spellStart"/>
      <w:r w:rsidRPr="00381BD8">
        <w:rPr>
          <w:rFonts w:cs="Arial"/>
        </w:rPr>
        <w:t>Altherma</w:t>
      </w:r>
      <w:proofErr w:type="spellEnd"/>
      <w:r w:rsidRPr="00381BD8">
        <w:rPr>
          <w:rFonts w:cs="Arial"/>
        </w:rPr>
        <w:t xml:space="preserve">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 xml:space="preserve">DCOM Gateway per </w:t>
      </w:r>
      <w:proofErr w:type="spellStart"/>
      <w:r w:rsidRPr="00132E07">
        <w:rPr>
          <w:rFonts w:cs="Arial"/>
          <w:u w:val="single"/>
        </w:rPr>
        <w:t>Altherma</w:t>
      </w:r>
      <w:proofErr w:type="spellEnd"/>
      <w:r w:rsidRPr="00132E07">
        <w:rPr>
          <w:rFonts w:cs="Arial"/>
          <w:u w:val="single"/>
        </w:rPr>
        <w:t xml:space="preserve"> versione I/O</w:t>
      </w:r>
    </w:p>
    <w:p w14:paraId="4A860F4A" w14:textId="77777777" w:rsidR="00300924" w:rsidRDefault="00300924" w:rsidP="00300924">
      <w:pPr>
        <w:pStyle w:val="NoSpacing"/>
        <w:jc w:val="both"/>
        <w:rPr>
          <w:rFonts w:cs="Arial"/>
        </w:rPr>
      </w:pPr>
      <w:r>
        <w:rPr>
          <w:rFonts w:cs="Arial"/>
        </w:rPr>
        <w:t>I</w:t>
      </w:r>
      <w:r w:rsidRPr="00132E07">
        <w:rPr>
          <w:rFonts w:cs="Arial"/>
        </w:rPr>
        <w:t xml:space="preserve">nclude, oltre alla porta RS485 per connessione </w:t>
      </w:r>
      <w:proofErr w:type="spellStart"/>
      <w:r w:rsidRPr="00132E07">
        <w:rPr>
          <w:rFonts w:cs="Arial"/>
        </w:rPr>
        <w:t>Modbus</w:t>
      </w:r>
      <w:proofErr w:type="spellEnd"/>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21B1EE6D" w14:textId="793223AC" w:rsidR="00300924" w:rsidRDefault="00300924" w:rsidP="00300924">
      <w:pPr>
        <w:spacing w:after="0"/>
        <w:jc w:val="both"/>
        <w:rPr>
          <w:rFonts w:cs="Arial"/>
        </w:rPr>
      </w:pPr>
      <w:r w:rsidRPr="00DD686D">
        <w:rPr>
          <w:rFonts w:cs="Arial"/>
        </w:rPr>
        <w:t>Per l’utilizzo della funzione di limitazione dei consumi tramite quattro input digitali.</w:t>
      </w:r>
    </w:p>
    <w:p w14:paraId="138F77B2" w14:textId="77777777" w:rsidR="002C5802" w:rsidRDefault="002C5802"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 xml:space="preserve">Filtro </w:t>
      </w:r>
      <w:proofErr w:type="spellStart"/>
      <w:r w:rsidRPr="006B2BC3">
        <w:rPr>
          <w:rFonts w:cs="Arial"/>
          <w:u w:val="single"/>
        </w:rPr>
        <w:t>defangatore</w:t>
      </w:r>
      <w:proofErr w:type="spellEnd"/>
      <w:r w:rsidRPr="006B2BC3">
        <w:rPr>
          <w:rFonts w:cs="Arial"/>
          <w:u w:val="single"/>
        </w:rPr>
        <w:t xml:space="preserv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D7576"/>
    <w:rsid w:val="001E2DA4"/>
    <w:rsid w:val="001F121C"/>
    <w:rsid w:val="001F50FC"/>
    <w:rsid w:val="00206BB3"/>
    <w:rsid w:val="00223603"/>
    <w:rsid w:val="00225A67"/>
    <w:rsid w:val="00225B79"/>
    <w:rsid w:val="00233EAD"/>
    <w:rsid w:val="00263540"/>
    <w:rsid w:val="00264C55"/>
    <w:rsid w:val="0027533A"/>
    <w:rsid w:val="002A277C"/>
    <w:rsid w:val="002A50D9"/>
    <w:rsid w:val="002A5A83"/>
    <w:rsid w:val="002B76D7"/>
    <w:rsid w:val="002C42D4"/>
    <w:rsid w:val="002C5802"/>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B106D"/>
    <w:rsid w:val="005E01B6"/>
    <w:rsid w:val="005E693E"/>
    <w:rsid w:val="005E7188"/>
    <w:rsid w:val="00601E1C"/>
    <w:rsid w:val="0060200D"/>
    <w:rsid w:val="00614FD6"/>
    <w:rsid w:val="006217D6"/>
    <w:rsid w:val="006312AF"/>
    <w:rsid w:val="00637020"/>
    <w:rsid w:val="00663E62"/>
    <w:rsid w:val="0066781A"/>
    <w:rsid w:val="00680E8A"/>
    <w:rsid w:val="0068650C"/>
    <w:rsid w:val="00696024"/>
    <w:rsid w:val="006A4FA5"/>
    <w:rsid w:val="006B2BC3"/>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F2B0B"/>
    <w:rsid w:val="008F3C9C"/>
    <w:rsid w:val="00907D75"/>
    <w:rsid w:val="00925DB1"/>
    <w:rsid w:val="009339D5"/>
    <w:rsid w:val="00936572"/>
    <w:rsid w:val="00942C37"/>
    <w:rsid w:val="009457B8"/>
    <w:rsid w:val="00946229"/>
    <w:rsid w:val="00990354"/>
    <w:rsid w:val="00995F55"/>
    <w:rsid w:val="00996648"/>
    <w:rsid w:val="00996776"/>
    <w:rsid w:val="009A228D"/>
    <w:rsid w:val="009B7988"/>
    <w:rsid w:val="009C6561"/>
    <w:rsid w:val="009D0D31"/>
    <w:rsid w:val="009D35A6"/>
    <w:rsid w:val="009E2EED"/>
    <w:rsid w:val="009E619E"/>
    <w:rsid w:val="009F1591"/>
    <w:rsid w:val="00A01EDF"/>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11340"/>
    <w:rsid w:val="00C12CD2"/>
    <w:rsid w:val="00C15D07"/>
    <w:rsid w:val="00C52FAC"/>
    <w:rsid w:val="00C54EC1"/>
    <w:rsid w:val="00C60F4A"/>
    <w:rsid w:val="00C74D29"/>
    <w:rsid w:val="00C96F4C"/>
    <w:rsid w:val="00CA43F3"/>
    <w:rsid w:val="00CF17EF"/>
    <w:rsid w:val="00CF2D8A"/>
    <w:rsid w:val="00D07415"/>
    <w:rsid w:val="00D1575D"/>
    <w:rsid w:val="00D16E5B"/>
    <w:rsid w:val="00D21C33"/>
    <w:rsid w:val="00D37E21"/>
    <w:rsid w:val="00D43124"/>
    <w:rsid w:val="00D45B67"/>
    <w:rsid w:val="00D60F30"/>
    <w:rsid w:val="00D7330F"/>
    <w:rsid w:val="00D84E98"/>
    <w:rsid w:val="00D9440D"/>
    <w:rsid w:val="00DA37E3"/>
    <w:rsid w:val="00DA71BB"/>
    <w:rsid w:val="00DD686D"/>
    <w:rsid w:val="00DF3E29"/>
    <w:rsid w:val="00E05ADD"/>
    <w:rsid w:val="00E12327"/>
    <w:rsid w:val="00E264DE"/>
    <w:rsid w:val="00E432C3"/>
    <w:rsid w:val="00E442E1"/>
    <w:rsid w:val="00E44731"/>
    <w:rsid w:val="00E477A3"/>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C270A"/>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1274</Words>
  <Characters>7265</Characters>
  <Application>Microsoft Office Word</Application>
  <DocSecurity>0</DocSecurity>
  <Lines>60</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16</cp:revision>
  <cp:lastPrinted>2017-03-23T09:32:00Z</cp:lastPrinted>
  <dcterms:created xsi:type="dcterms:W3CDTF">2021-10-08T15:12:00Z</dcterms:created>
  <dcterms:modified xsi:type="dcterms:W3CDTF">2021-12-09T11:06:00Z</dcterms:modified>
</cp:coreProperties>
</file>